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pStyle w:val="BodyText"/>
        <w:spacing w:before="68"/>
        <w:ind w:left="478"/>
      </w:pPr>
      <w:r>
        <w:t>F8-REG-CMCPU-02</w:t>
      </w: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spacing w:before="1"/>
        <w:rPr>
          <w:sz w:val="3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Date despre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z w:val="18"/>
        </w:rPr>
        <w:t>program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  <w:r>
        <w:br w:type="column"/>
      </w:r>
    </w:p>
    <w:p w:rsidR="007C7D20" w:rsidRDefault="007C7D20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FIŞA DISCIPLINEI (IF)</w:t>
      </w:r>
    </w:p>
    <w:p w:rsidR="007324AA" w:rsidRDefault="007324AA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 w:rsidRPr="007324AA">
        <w:rPr>
          <w:rFonts w:ascii="Arial" w:hAnsi="Arial"/>
        </w:rPr>
        <w:t>Managementul activităţii de traducător şi al pro</w:t>
      </w:r>
      <w:r>
        <w:rPr>
          <w:rFonts w:ascii="Arial" w:hAnsi="Arial"/>
        </w:rPr>
        <w:t>fesiilor din industriile limbii</w:t>
      </w:r>
    </w:p>
    <w:p w:rsidR="007324AA" w:rsidRDefault="007324AA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2019-2020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</w:p>
    <w:p w:rsidR="007C7D20" w:rsidRDefault="007C7D20" w:rsidP="007C7D20">
      <w:pPr>
        <w:jc w:val="center"/>
        <w:rPr>
          <w:rFonts w:ascii="Arial"/>
        </w:rPr>
        <w:sectPr w:rsidR="007C7D20">
          <w:headerReference w:type="default" r:id="rId8"/>
          <w:footerReference w:type="default" r:id="rId9"/>
          <w:pgSz w:w="11910" w:h="16840"/>
          <w:pgMar w:top="1040" w:right="440" w:bottom="1260" w:left="940" w:header="0" w:footer="1065" w:gutter="0"/>
          <w:cols w:num="2" w:space="708" w:equalWidth="0">
            <w:col w:w="3048" w:space="125"/>
            <w:col w:w="7357"/>
          </w:cols>
        </w:sectPr>
      </w:pP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1.1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Universitatea din Piteşti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7324AA" w:rsidRPr="004609B5" w:rsidRDefault="00E915A2" w:rsidP="00556810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Teolgie, Litere, Istorie şi Arte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7324AA" w:rsidRDefault="007324AA" w:rsidP="00E915A2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Limbi Straine Aplicate</w:t>
            </w:r>
          </w:p>
        </w:tc>
      </w:tr>
      <w:tr w:rsidR="007324AA" w:rsidTr="00556810">
        <w:trPr>
          <w:trHeight w:val="206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1.4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Domeniul de studii</w:t>
            </w:r>
          </w:p>
        </w:tc>
        <w:tc>
          <w:tcPr>
            <w:tcW w:w="5908" w:type="dxa"/>
          </w:tcPr>
          <w:p w:rsidR="007324AA" w:rsidRDefault="007324AA" w:rsidP="00E915A2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Filologie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1.5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Ciclul de studii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Master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1.6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Programul de studiu / calificarea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Limbaje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specializate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şi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traducere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asistată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de calculator</w:t>
            </w:r>
          </w:p>
        </w:tc>
      </w:tr>
    </w:tbl>
    <w:p w:rsidR="007C7D20" w:rsidRDefault="007C7D20" w:rsidP="007C7D20">
      <w:pPr>
        <w:pStyle w:val="BodyText"/>
        <w:spacing w:before="3"/>
        <w:rPr>
          <w:rFonts w:ascii="Arial"/>
          <w:i/>
          <w:sz w:val="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Date despre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disciplină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2.1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7C7D20" w:rsidRPr="00BB4D8B" w:rsidRDefault="007324AA" w:rsidP="00BB4D8B">
            <w:pPr>
              <w:pStyle w:val="TableParagraph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B4D8B">
              <w:rPr>
                <w:rFonts w:ascii="Arial" w:eastAsia="Calibri" w:hAnsi="Arial" w:cs="Arial"/>
                <w:b/>
                <w:color w:val="000000"/>
                <w:sz w:val="18"/>
                <w:szCs w:val="18"/>
                <w:shd w:val="clear" w:color="auto" w:fill="FFFFFF"/>
                <w:lang w:eastAsia="en-US" w:bidi="ar-SA"/>
              </w:rPr>
              <w:t>Managementul activităţii de traducător şi al pro</w:t>
            </w:r>
            <w:r w:rsidR="00BB4D8B">
              <w:rPr>
                <w:rFonts w:ascii="Arial" w:eastAsia="Calibri" w:hAnsi="Arial" w:cs="Arial"/>
                <w:b/>
                <w:color w:val="000000"/>
                <w:sz w:val="18"/>
                <w:szCs w:val="18"/>
                <w:shd w:val="clear" w:color="auto" w:fill="FFFFFF"/>
                <w:lang w:eastAsia="en-US" w:bidi="ar-SA"/>
              </w:rPr>
              <w:t>fesiilor din industriile limbii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Conf. univ. dr. Matrozi-Marin Adina</w:t>
            </w:r>
          </w:p>
        </w:tc>
      </w:tr>
      <w:tr w:rsidR="007C7D20" w:rsidRPr="007324AA" w:rsidTr="00111B29">
        <w:trPr>
          <w:trHeight w:val="205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274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Anul de studii</w:t>
            </w:r>
          </w:p>
        </w:tc>
        <w:tc>
          <w:tcPr>
            <w:tcW w:w="424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398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62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Semestrul</w:t>
            </w:r>
          </w:p>
        </w:tc>
        <w:tc>
          <w:tcPr>
            <w:tcW w:w="36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40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7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478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3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Tipul de evaluare</w:t>
            </w:r>
          </w:p>
        </w:tc>
        <w:tc>
          <w:tcPr>
            <w:tcW w:w="909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710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33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699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Regimul disciplinei</w:t>
            </w:r>
          </w:p>
        </w:tc>
        <w:tc>
          <w:tcPr>
            <w:tcW w:w="653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O</w:t>
            </w:r>
          </w:p>
        </w:tc>
      </w:tr>
    </w:tbl>
    <w:p w:rsidR="007C7D20" w:rsidRPr="007324AA" w:rsidRDefault="007C7D20" w:rsidP="007C7D20">
      <w:pPr>
        <w:pStyle w:val="BodyText"/>
        <w:spacing w:before="9"/>
        <w:rPr>
          <w:rFonts w:ascii="Arial" w:hAnsi="Arial" w:cs="Arial"/>
          <w:b/>
          <w:sz w:val="18"/>
          <w:szCs w:val="1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Timpul total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RPr="007324AA" w:rsidTr="00111B29">
        <w:trPr>
          <w:trHeight w:val="205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ore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7C7D20" w:rsidRPr="007324AA" w:rsidTr="00111B29">
        <w:trPr>
          <w:trHeight w:val="206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Tutorat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Examinări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7C7D20" w:rsidRPr="007324AA" w:rsidTr="00111B29">
        <w:trPr>
          <w:trHeight w:val="206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Alte activităţi .....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2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6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3.8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3.9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Precondiţii (acolo unde este</w:t>
      </w:r>
      <w:r w:rsidRPr="007324AA">
        <w:rPr>
          <w:rFonts w:ascii="Arial" w:hAnsi="Arial" w:cs="Arial"/>
          <w:b/>
          <w:spacing w:val="-5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curriculum</w:t>
            </w:r>
          </w:p>
        </w:tc>
        <w:tc>
          <w:tcPr>
            <w:tcW w:w="6869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competenţe</w:t>
            </w:r>
          </w:p>
        </w:tc>
        <w:tc>
          <w:tcPr>
            <w:tcW w:w="6869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Condiţii (acolo unde este</w:t>
      </w:r>
      <w:r w:rsidRPr="007324AA">
        <w:rPr>
          <w:rFonts w:ascii="Arial" w:hAnsi="Arial" w:cs="Arial"/>
          <w:b/>
          <w:spacing w:val="-7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cursului</w:t>
            </w:r>
          </w:p>
        </w:tc>
        <w:tc>
          <w:tcPr>
            <w:tcW w:w="6575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laboratorului</w:t>
            </w:r>
          </w:p>
        </w:tc>
        <w:tc>
          <w:tcPr>
            <w:tcW w:w="6575" w:type="dxa"/>
          </w:tcPr>
          <w:p w:rsidR="007C7D20" w:rsidRPr="007324AA" w:rsidRDefault="007324AA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  <w:lang w:eastAsia="en-US" w:bidi="ar-SA"/>
              </w:rPr>
              <w:t>Sală cu minim 10 posturi de lucru dotate cu PC</w:t>
            </w: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7C7D20" w:rsidTr="00AB2766">
        <w:trPr>
          <w:trHeight w:val="1289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160" w:type="dxa"/>
          </w:tcPr>
          <w:p w:rsidR="00AB2766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AB2766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C4. S</w:t>
            </w:r>
            <w:r w:rsidRPr="00AB2766">
              <w:rPr>
                <w:rFonts w:ascii="Arial" w:hAnsi="Arial" w:cs="Arial"/>
                <w:sz w:val="18"/>
                <w:szCs w:val="18"/>
              </w:rPr>
              <w:t>ă</w:t>
            </w:r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>gestioneze</w:t>
            </w:r>
            <w:proofErr w:type="spellEnd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un </w:t>
            </w:r>
            <w:proofErr w:type="spellStart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>pr</w:t>
            </w: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oiect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profesional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traducere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 </w:t>
            </w:r>
          </w:p>
          <w:p w:rsidR="00AB2766" w:rsidRPr="00AB2766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AB2766" w:rsidRPr="00AB2766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C5</w:t>
            </w:r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. </w:t>
            </w:r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S</w:t>
            </w:r>
            <w:r w:rsidRPr="00AB2766">
              <w:rPr>
                <w:rFonts w:ascii="Arial" w:hAnsi="Arial" w:cs="Arial"/>
                <w:sz w:val="18"/>
                <w:szCs w:val="18"/>
              </w:rPr>
              <w:t>ă</w:t>
            </w:r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dobândească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>competen</w:t>
            </w:r>
            <w:proofErr w:type="spellEnd"/>
            <w:r w:rsidRPr="00AB2766">
              <w:rPr>
                <w:rFonts w:ascii="Arial" w:hAnsi="Arial" w:cs="Arial"/>
                <w:b/>
                <w:sz w:val="18"/>
                <w:szCs w:val="18"/>
              </w:rPr>
              <w:t>ţ</w:t>
            </w:r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e </w:t>
            </w:r>
            <w:proofErr w:type="spellStart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>complementare</w:t>
            </w:r>
            <w:proofErr w:type="spellEnd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legate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utilizarea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>noilor</w:t>
            </w:r>
            <w:proofErr w:type="spellEnd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b/>
                <w:sz w:val="18"/>
                <w:szCs w:val="18"/>
                <w:lang w:val="fr-FR"/>
              </w:rPr>
              <w:t>tehnologii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adaptare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gram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la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evolu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ț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ia</w:t>
            </w:r>
            <w:proofErr w:type="spellEnd"/>
            <w:proofErr w:type="gram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acestora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corela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ț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ie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cu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profesiile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industriile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limbii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.</w:t>
            </w:r>
          </w:p>
          <w:p w:rsidR="007C7D20" w:rsidRPr="00AB2766" w:rsidRDefault="007C7D20" w:rsidP="007324AA">
            <w:pPr>
              <w:pStyle w:val="TableParagraph"/>
              <w:tabs>
                <w:tab w:val="left" w:pos="277"/>
              </w:tabs>
              <w:spacing w:line="207" w:lineRule="exact"/>
              <w:ind w:left="27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Tr="00AB2766">
        <w:trPr>
          <w:trHeight w:val="1266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160" w:type="dxa"/>
          </w:tcPr>
          <w:p w:rsidR="007C7D20" w:rsidRPr="00AB2766" w:rsidRDefault="007C7D20" w:rsidP="00111B29">
            <w:pPr>
              <w:pStyle w:val="TableParagraph"/>
              <w:spacing w:before="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B2766" w:rsidRPr="00AB2766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</w:rPr>
            </w:pPr>
            <w:r w:rsidRPr="00AB2766">
              <w:rPr>
                <w:rFonts w:ascii="Arial" w:hAnsi="Arial" w:cs="Arial"/>
                <w:sz w:val="18"/>
                <w:szCs w:val="18"/>
              </w:rPr>
              <w:t>CT.2</w:t>
            </w:r>
            <w:r w:rsidRPr="00AB2766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B2766">
              <w:rPr>
                <w:rFonts w:ascii="Arial" w:hAnsi="Arial" w:cs="Arial"/>
                <w:sz w:val="18"/>
                <w:szCs w:val="18"/>
              </w:rPr>
              <w:t>Să-şi dezvolte spiritul de inițiativă, capacitatea de convingere şi simțul de organizare a activității unui grup profesional.</w:t>
            </w:r>
          </w:p>
          <w:p w:rsidR="007C7D20" w:rsidRPr="00AB2766" w:rsidRDefault="007C7D20" w:rsidP="007324AA">
            <w:pPr>
              <w:pStyle w:val="TableParagraph"/>
              <w:tabs>
                <w:tab w:val="left" w:pos="277"/>
              </w:tabs>
              <w:spacing w:line="207" w:lineRule="exact"/>
              <w:ind w:left="27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4D8B" w:rsidRPr="00BB4D8B" w:rsidRDefault="00BB4D8B" w:rsidP="00BB4D8B">
      <w:pPr>
        <w:tabs>
          <w:tab w:val="left" w:pos="1198"/>
          <w:tab w:val="left" w:pos="1199"/>
        </w:tabs>
        <w:spacing w:before="179" w:after="8"/>
        <w:rPr>
          <w:rFonts w:ascii="Arial"/>
          <w:b/>
          <w:sz w:val="1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7.1 Obiectivul general al disciplinei</w:t>
            </w:r>
          </w:p>
        </w:tc>
        <w:tc>
          <w:tcPr>
            <w:tcW w:w="7568" w:type="dxa"/>
          </w:tcPr>
          <w:p w:rsidR="00AB2766" w:rsidRPr="00AB2766" w:rsidRDefault="00AB2766" w:rsidP="00AB2766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B2766">
              <w:rPr>
                <w:sz w:val="18"/>
                <w:lang w:val="en-US"/>
              </w:rPr>
              <w:t>F</w:t>
            </w:r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amiliarizarea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studenților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notiunile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fundamentale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privind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activitatea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traducator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interpret</w:t>
            </w:r>
            <w:proofErr w:type="gram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AB2766">
              <w:rPr>
                <w:rFonts w:ascii="Arial" w:hAnsi="Arial" w:cs="Arial"/>
                <w:sz w:val="18"/>
                <w:szCs w:val="18"/>
              </w:rPr>
              <w:t xml:space="preserve">Prezentarea succinta a celorlalte profesii din industriile limbii. </w:t>
            </w:r>
          </w:p>
          <w:p w:rsidR="007C7D20" w:rsidRDefault="00AB2766" w:rsidP="00AB2766">
            <w:pPr>
              <w:pStyle w:val="TableParagraph"/>
              <w:jc w:val="both"/>
              <w:rPr>
                <w:sz w:val="18"/>
              </w:rPr>
            </w:pPr>
            <w:r w:rsidRPr="00AB2766">
              <w:rPr>
                <w:rFonts w:ascii="Arial" w:hAnsi="Arial" w:cs="Arial"/>
                <w:sz w:val="18"/>
                <w:szCs w:val="18"/>
              </w:rPr>
              <w:t>La finalul cursului, studentul</w:t>
            </w:r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va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cunoaste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date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esentiale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privind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formele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organizare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functionare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traducatorilor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interpretilor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conditiile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privind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accederea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in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profesia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traducator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/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interpret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precum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bunele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practici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standardele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 internationale de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>activitate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fr-FR"/>
              </w:rPr>
              <w:t xml:space="preserve">. </w:t>
            </w:r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asemenea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acesta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va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cunoaste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drepturile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obligatiile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atributiile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competentele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traducatorului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/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interpretului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si va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conştientiza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rolul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organizatiilor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profesionale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in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activitatile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specifice</w:t>
            </w:r>
            <w:proofErr w:type="spellEnd"/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7.2 Obiectivele specifice</w:t>
            </w:r>
          </w:p>
        </w:tc>
        <w:tc>
          <w:tcPr>
            <w:tcW w:w="7568" w:type="dxa"/>
          </w:tcPr>
          <w:p w:rsidR="00AB2766" w:rsidRPr="00957D2C" w:rsidRDefault="00AB2766" w:rsidP="00AB2766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Cunoasterea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rolului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traducatorului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si al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interpretului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, 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cadrului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normativ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cu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privire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profesiile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industriile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limbii</w:t>
            </w:r>
            <w:proofErr w:type="spellEnd"/>
          </w:p>
          <w:p w:rsidR="00AB2766" w:rsidRPr="00AB2766" w:rsidRDefault="00AB2766" w:rsidP="00AB2766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Sistematizarea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cunoştinţelor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privind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formele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organizare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standardele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calitate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statutul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profesiilor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mentionate</w:t>
            </w:r>
            <w:proofErr w:type="spellEnd"/>
          </w:p>
          <w:p w:rsidR="00AB2766" w:rsidRPr="00AB2766" w:rsidRDefault="00AB2766" w:rsidP="00AB2766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Familiarizarea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studenţilor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raspunderea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drepturile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obligatiile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decurg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aceste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activitati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dar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aspectele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finaciare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si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 xml:space="preserve"> de marketing </w:t>
            </w:r>
            <w:proofErr w:type="gramStart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implicate</w:t>
            </w:r>
            <w:proofErr w:type="gramEnd"/>
            <w:r w:rsidRPr="00AB276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AB2766" w:rsidRPr="00957D2C" w:rsidRDefault="00AB2766" w:rsidP="00AB2766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Familiarizarea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cu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sistemele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tarducere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asistata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sublinierea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impactului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si 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avantajelor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pe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care le au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acestea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in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activitatile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vizate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/>
              </w:rPr>
              <w:t>.</w:t>
            </w:r>
          </w:p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</w:tbl>
    <w:p w:rsidR="00AB2766" w:rsidRDefault="00AB2766" w:rsidP="00AB2766">
      <w:pPr>
        <w:widowControl/>
        <w:autoSpaceDE/>
        <w:autoSpaceDN/>
        <w:spacing w:after="200" w:line="276" w:lineRule="auto"/>
        <w:ind w:left="720"/>
        <w:rPr>
          <w:b/>
          <w:bCs/>
          <w:sz w:val="18"/>
          <w:szCs w:val="18"/>
          <w:lang w:eastAsia="en-US" w:bidi="ar-SA"/>
        </w:rPr>
      </w:pPr>
    </w:p>
    <w:p w:rsidR="00AB2766" w:rsidRPr="00AB2766" w:rsidRDefault="00AB2766" w:rsidP="00AB2766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rPr>
          <w:rFonts w:ascii="Arial" w:hAnsi="Arial" w:cs="Arial"/>
          <w:b/>
          <w:bCs/>
          <w:sz w:val="18"/>
          <w:szCs w:val="18"/>
          <w:lang w:eastAsia="en-US" w:bidi="ar-SA"/>
        </w:rPr>
      </w:pPr>
      <w:r w:rsidRPr="00AB2766">
        <w:rPr>
          <w:rFonts w:ascii="Arial" w:hAnsi="Arial" w:cs="Arial"/>
          <w:b/>
          <w:bCs/>
          <w:sz w:val="18"/>
          <w:szCs w:val="18"/>
          <w:lang w:eastAsia="en-US" w:bidi="ar-SA"/>
        </w:rPr>
        <w:t>Conţinuturi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1"/>
        <w:gridCol w:w="5415"/>
        <w:gridCol w:w="567"/>
        <w:gridCol w:w="1419"/>
        <w:gridCol w:w="1904"/>
      </w:tblGrid>
      <w:tr w:rsidR="00AB2766" w:rsidRPr="00AB2766" w:rsidTr="00556810">
        <w:trPr>
          <w:trHeight w:val="414"/>
        </w:trPr>
        <w:tc>
          <w:tcPr>
            <w:tcW w:w="5876" w:type="dxa"/>
            <w:gridSpan w:val="2"/>
          </w:tcPr>
          <w:p w:rsidR="00AB2766" w:rsidRPr="00AB2766" w:rsidRDefault="00AB2766" w:rsidP="00AB2766">
            <w:pPr>
              <w:spacing w:before="101"/>
              <w:ind w:left="105"/>
              <w:rPr>
                <w:rFonts w:ascii="Arial"/>
                <w:b/>
                <w:sz w:val="18"/>
              </w:rPr>
            </w:pPr>
            <w:r w:rsidRPr="00AB2766">
              <w:rPr>
                <w:rFonts w:ascii="Arial"/>
                <w:b/>
                <w:sz w:val="18"/>
              </w:rPr>
              <w:t>8.1. Curs</w:t>
            </w:r>
          </w:p>
        </w:tc>
        <w:tc>
          <w:tcPr>
            <w:tcW w:w="567" w:type="dxa"/>
          </w:tcPr>
          <w:p w:rsidR="00AB2766" w:rsidRPr="00AB2766" w:rsidRDefault="00AB2766" w:rsidP="00AB2766">
            <w:pPr>
              <w:spacing w:before="2" w:line="208" w:lineRule="exact"/>
              <w:ind w:left="150" w:right="126" w:firstLine="9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Nr. ore</w:t>
            </w:r>
          </w:p>
        </w:tc>
        <w:tc>
          <w:tcPr>
            <w:tcW w:w="1419" w:type="dxa"/>
          </w:tcPr>
          <w:p w:rsidR="00AB2766" w:rsidRPr="00AB2766" w:rsidRDefault="00AB2766" w:rsidP="00AB2766">
            <w:pPr>
              <w:spacing w:before="2" w:line="208" w:lineRule="exact"/>
              <w:ind w:left="396" w:right="258" w:hanging="116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Metode de predare</w:t>
            </w:r>
          </w:p>
        </w:tc>
        <w:tc>
          <w:tcPr>
            <w:tcW w:w="1904" w:type="dxa"/>
          </w:tcPr>
          <w:p w:rsidR="00AB2766" w:rsidRPr="00AB2766" w:rsidRDefault="00AB2766" w:rsidP="00AB2766">
            <w:pPr>
              <w:spacing w:before="2" w:line="208" w:lineRule="exact"/>
              <w:ind w:left="302" w:right="281" w:firstLine="240"/>
              <w:rPr>
                <w:rFonts w:ascii="Arial" w:hAnsi="Arial"/>
                <w:sz w:val="18"/>
              </w:rPr>
            </w:pPr>
            <w:r w:rsidRPr="00AB2766">
              <w:rPr>
                <w:rFonts w:ascii="Arial" w:hAnsi="Arial"/>
                <w:sz w:val="18"/>
              </w:rPr>
              <w:t>Observaţii Resurse folosite</w:t>
            </w:r>
          </w:p>
        </w:tc>
      </w:tr>
      <w:tr w:rsidR="00AB2766" w:rsidRPr="00AB2766" w:rsidTr="00556810">
        <w:trPr>
          <w:trHeight w:val="202"/>
        </w:trPr>
        <w:tc>
          <w:tcPr>
            <w:tcW w:w="461" w:type="dxa"/>
          </w:tcPr>
          <w:p w:rsidR="00AB2766" w:rsidRPr="00AB2766" w:rsidRDefault="00AB2766" w:rsidP="00AB2766">
            <w:pPr>
              <w:spacing w:line="183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AB2766" w:rsidRPr="00AB2766" w:rsidRDefault="00AB2766" w:rsidP="00AB276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AB2766" w:rsidRPr="00AB2766" w:rsidRDefault="00AB2766" w:rsidP="00AB2766">
            <w:pPr>
              <w:rPr>
                <w:sz w:val="14"/>
              </w:rPr>
            </w:pPr>
          </w:p>
        </w:tc>
        <w:tc>
          <w:tcPr>
            <w:tcW w:w="1419" w:type="dxa"/>
            <w:vMerge w:val="restart"/>
          </w:tcPr>
          <w:p w:rsidR="00AB2766" w:rsidRPr="00AB2766" w:rsidRDefault="00AB2766" w:rsidP="00AB2766">
            <w:pPr>
              <w:rPr>
                <w:sz w:val="18"/>
              </w:rPr>
            </w:pPr>
          </w:p>
        </w:tc>
        <w:tc>
          <w:tcPr>
            <w:tcW w:w="1904" w:type="dxa"/>
            <w:vMerge w:val="restart"/>
          </w:tcPr>
          <w:p w:rsidR="00AB2766" w:rsidRPr="00AB2766" w:rsidRDefault="00AB2766" w:rsidP="00AB2766">
            <w:pPr>
              <w:rPr>
                <w:sz w:val="18"/>
              </w:rPr>
            </w:pPr>
          </w:p>
        </w:tc>
      </w:tr>
      <w:tr w:rsidR="00AB2766" w:rsidRPr="00AB2766" w:rsidTr="00556810">
        <w:trPr>
          <w:trHeight w:val="208"/>
        </w:trPr>
        <w:tc>
          <w:tcPr>
            <w:tcW w:w="461" w:type="dxa"/>
          </w:tcPr>
          <w:p w:rsidR="00AB2766" w:rsidRPr="00AB2766" w:rsidRDefault="00AB2766" w:rsidP="00AB2766">
            <w:pPr>
              <w:spacing w:before="2" w:line="186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AB2766" w:rsidRPr="00AB2766" w:rsidRDefault="00AB2766" w:rsidP="00AB276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AB2766" w:rsidRPr="00AB2766" w:rsidRDefault="00AB2766" w:rsidP="00AB2766">
            <w:pPr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AB2766" w:rsidRPr="00AB2766" w:rsidRDefault="00AB276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AB2766" w:rsidRPr="00AB2766" w:rsidRDefault="00AB2766" w:rsidP="00AB2766">
            <w:pPr>
              <w:rPr>
                <w:sz w:val="2"/>
                <w:szCs w:val="2"/>
              </w:rPr>
            </w:pPr>
          </w:p>
        </w:tc>
      </w:tr>
      <w:tr w:rsidR="00AB2766" w:rsidRPr="00AB2766" w:rsidTr="00556810">
        <w:trPr>
          <w:trHeight w:val="205"/>
        </w:trPr>
        <w:tc>
          <w:tcPr>
            <w:tcW w:w="461" w:type="dxa"/>
          </w:tcPr>
          <w:p w:rsidR="00AB2766" w:rsidRPr="00AB2766" w:rsidRDefault="00AB2766" w:rsidP="00AB2766">
            <w:pPr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AB2766" w:rsidRPr="00AB2766" w:rsidRDefault="00AB2766" w:rsidP="00AB276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AB2766" w:rsidRPr="00AB2766" w:rsidRDefault="00AB2766" w:rsidP="00AB2766">
            <w:pPr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AB2766" w:rsidRPr="00AB2766" w:rsidRDefault="00AB276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AB2766" w:rsidRPr="00AB2766" w:rsidRDefault="00AB2766" w:rsidP="00AB2766">
            <w:pPr>
              <w:rPr>
                <w:sz w:val="2"/>
                <w:szCs w:val="2"/>
              </w:rPr>
            </w:pPr>
          </w:p>
        </w:tc>
      </w:tr>
    </w:tbl>
    <w:p w:rsidR="00AB2766" w:rsidRPr="00AB2766" w:rsidRDefault="00AB2766" w:rsidP="00AB2766">
      <w:pPr>
        <w:widowControl/>
        <w:autoSpaceDE/>
        <w:autoSpaceDN/>
        <w:ind w:left="720"/>
        <w:rPr>
          <w:b/>
          <w:bCs/>
          <w:sz w:val="18"/>
          <w:szCs w:val="18"/>
          <w:lang w:eastAsia="en-US" w:bidi="ar-SA"/>
        </w:rPr>
      </w:pPr>
    </w:p>
    <w:tbl>
      <w:tblPr>
        <w:tblW w:w="9989" w:type="dxa"/>
        <w:jc w:val="center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0"/>
        <w:gridCol w:w="5310"/>
        <w:gridCol w:w="2431"/>
        <w:gridCol w:w="1328"/>
      </w:tblGrid>
      <w:tr w:rsidR="00AB2766" w:rsidRPr="00AB2766" w:rsidTr="00AB2766">
        <w:trPr>
          <w:jc w:val="center"/>
        </w:trPr>
        <w:tc>
          <w:tcPr>
            <w:tcW w:w="6230" w:type="dxa"/>
            <w:gridSpan w:val="2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/>
                <w:bCs/>
                <w:sz w:val="18"/>
                <w:szCs w:val="18"/>
                <w:lang w:eastAsia="en-US" w:bidi="ar-SA"/>
              </w:rPr>
              <w:t xml:space="preserve">8.2. Seminar </w:t>
            </w:r>
          </w:p>
        </w:tc>
        <w:tc>
          <w:tcPr>
            <w:tcW w:w="2431" w:type="dxa"/>
            <w:shd w:val="clear" w:color="auto" w:fill="auto"/>
          </w:tcPr>
          <w:p w:rsidR="00AB2766" w:rsidRPr="00AB2766" w:rsidRDefault="00AB2766" w:rsidP="00AB2766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Metode de predare</w:t>
            </w:r>
          </w:p>
        </w:tc>
        <w:tc>
          <w:tcPr>
            <w:tcW w:w="1328" w:type="dxa"/>
            <w:shd w:val="clear" w:color="auto" w:fill="auto"/>
          </w:tcPr>
          <w:p w:rsidR="00AB2766" w:rsidRPr="00AB2766" w:rsidRDefault="00AB2766" w:rsidP="00AB2766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Observaţii</w:t>
            </w:r>
          </w:p>
          <w:p w:rsidR="00AB2766" w:rsidRPr="00AB2766" w:rsidRDefault="00AB2766" w:rsidP="00AB2766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Resurse folosite</w:t>
            </w:r>
          </w:p>
        </w:tc>
      </w:tr>
      <w:tr w:rsidR="00AB2766" w:rsidRPr="00AB2766" w:rsidTr="00AB2766">
        <w:trPr>
          <w:trHeight w:val="21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1.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BC5CEC" w:rsidP="00AB2766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Prezentare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generală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a profesii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lor de traducător ș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i interpret (2h)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957D2C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fr-FR" w:eastAsia="en-US" w:bidi="ar-SA"/>
              </w:rPr>
            </w:pP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Expunerea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cu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material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suport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scris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video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si audio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21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2.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BC5CEC" w:rsidP="00AB2766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Categorii de traducere ș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i de interpretariat (4h)</w:t>
            </w:r>
          </w:p>
          <w:p w:rsidR="00AB2766" w:rsidRPr="00AB2766" w:rsidRDefault="00AB2766" w:rsidP="00AB2766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957D2C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fr-FR" w:eastAsia="en-US" w:bidi="ar-SA"/>
              </w:rPr>
            </w:pP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Expunerea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cu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material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suport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scris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video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si audio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21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Rolul </w:t>
            </w:r>
            <w:r w:rsidR="00BC5CEC">
              <w:rPr>
                <w:rFonts w:ascii="Arial" w:hAnsi="Arial" w:cs="Arial"/>
                <w:sz w:val="18"/>
                <w:szCs w:val="18"/>
                <w:lang w:eastAsia="en-US" w:bidi="ar-SA"/>
              </w:rPr>
              <w:t>traducatorului. Traducător intern vs. traducă</w:t>
            </w: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tor  independent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. </w:t>
            </w: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Rolul interpretului (2h)</w:t>
            </w:r>
          </w:p>
          <w:p w:rsidR="00AB2766" w:rsidRPr="00AB2766" w:rsidRDefault="00AB2766" w:rsidP="00AB276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shd w:val="clear" w:color="auto" w:fill="FFFFFF"/>
                <w:lang w:eastAsia="en-US" w:bidi="ar-SA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957D2C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fr-FR" w:eastAsia="en-US" w:bidi="ar-SA"/>
              </w:rPr>
            </w:pP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Expunerea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cu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material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suport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scris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video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si audio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21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4.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BC5CEC" w:rsidP="00AB276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Pregă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tirea de specialitate (2h)</w:t>
            </w:r>
          </w:p>
          <w:p w:rsidR="00AB2766" w:rsidRPr="00AB2766" w:rsidRDefault="00AB2766" w:rsidP="00AB2766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21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 xml:space="preserve">5 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AB2766" w:rsidP="00AB2766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Aspecte juridice ale profesiei. Cadrul</w:t>
            </w:r>
            <w:r w:rsidR="00BC5CEC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 normativ național ș</w:t>
            </w:r>
            <w:r w:rsidRPr="00AB2766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i standarde</w:t>
            </w:r>
            <w:r w:rsidR="00BC5CEC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 internaționale. Cerințe legale și procedură</w:t>
            </w:r>
            <w:r w:rsidRPr="00AB2766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 de autorizare  </w:t>
            </w: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(2h)</w:t>
            </w:r>
          </w:p>
          <w:p w:rsidR="00AB2766" w:rsidRPr="00AB2766" w:rsidRDefault="00AB2766" w:rsidP="00AB2766">
            <w:pPr>
              <w:keepNext/>
              <w:widowControl/>
              <w:autoSpaceDE/>
              <w:autoSpaceDN/>
              <w:spacing w:after="60"/>
              <w:jc w:val="both"/>
              <w:outlineLvl w:val="2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529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BC5CEC" w:rsidP="00AB2766">
            <w:pPr>
              <w:keepNext/>
              <w:widowControl/>
              <w:autoSpaceDE/>
              <w:autoSpaceDN/>
              <w:spacing w:after="60"/>
              <w:jc w:val="both"/>
              <w:outlineLvl w:val="2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>Agenții de traducere ș</w:t>
            </w:r>
            <w:r w:rsidR="00AB2766" w:rsidRPr="00AB2766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>i interpretariat. Ser</w:t>
            </w:r>
            <w:r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>vicii de traducere, localizare ș</w:t>
            </w:r>
            <w:r w:rsidR="00AB2766" w:rsidRPr="00AB2766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 xml:space="preserve">i interpretariat. Managerul de proiect. Externalizarea resurselor 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(4h)</w:t>
            </w:r>
          </w:p>
          <w:p w:rsidR="00AB2766" w:rsidRPr="00AB2766" w:rsidRDefault="00AB2766" w:rsidP="00AB2766">
            <w:pPr>
              <w:suppressAutoHyphens/>
              <w:autoSpaceDE/>
              <w:autoSpaceDN/>
              <w:spacing w:after="120"/>
              <w:jc w:val="both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422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BB4D8B" w:rsidP="00AB2766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Standarde de calitate ș</w:t>
            </w:r>
            <w:r w:rsidR="00AB2766" w:rsidRPr="00AB2766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i </w:t>
            </w:r>
            <w:r w:rsidR="00BC5CEC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etică profesională. Drepturi și obligații, atribuții și competențe  ale  traducătorilor și interpreților autorizaț</w:t>
            </w:r>
            <w:r w:rsidR="00AB2766" w:rsidRPr="00AB2766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i (2h) 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video / audio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422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AB2766" w:rsidP="00AB2766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 xml:space="preserve">Aspecte financiare </w:t>
            </w:r>
            <w:r w:rsidR="00BB4D8B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>ș</w:t>
            </w:r>
            <w:r w:rsidRPr="00AB2766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>i</w:t>
            </w:r>
            <w:r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 xml:space="preserve"> de marketing</w:t>
            </w:r>
            <w:r w:rsidRPr="00AB2766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>.</w:t>
            </w:r>
            <w:r w:rsid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Tarife, productivitate și termene limită</w:t>
            </w: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(4h)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scris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422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BB4D8B" w:rsidP="00AB2766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Impactul tehnologiei informaț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iei. </w:t>
            </w:r>
            <w:r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Traducerea asistată</w:t>
            </w:r>
            <w:r w:rsidR="00AB2766" w:rsidRPr="00AB2766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 de calculator 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(4h)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video / audio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  <w:t>Studiu de caz</w:t>
            </w: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PC</w:t>
            </w:r>
          </w:p>
        </w:tc>
      </w:tr>
      <w:tr w:rsidR="00AB2766" w:rsidRPr="00AB2766" w:rsidTr="00AB2766">
        <w:trPr>
          <w:trHeight w:val="422"/>
          <w:jc w:val="center"/>
        </w:trPr>
        <w:tc>
          <w:tcPr>
            <w:tcW w:w="920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5310" w:type="dxa"/>
            <w:shd w:val="clear" w:color="auto" w:fill="auto"/>
          </w:tcPr>
          <w:p w:rsidR="00AB2766" w:rsidRPr="00AB2766" w:rsidRDefault="00BB4D8B" w:rsidP="00AB2766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>Asociații profesionale naționale și internaț</w:t>
            </w:r>
            <w:r w:rsidR="00AB2766" w:rsidRPr="00AB2766"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  <w:t xml:space="preserve">ionale </w:t>
            </w:r>
            <w:r w:rsidR="00AB2766"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t>(2h)</w:t>
            </w:r>
          </w:p>
          <w:p w:rsidR="00AB2766" w:rsidRPr="00AB2766" w:rsidRDefault="00AB2766" w:rsidP="00AB2766">
            <w:pPr>
              <w:keepNext/>
              <w:widowControl/>
              <w:autoSpaceDE/>
              <w:autoSpaceDN/>
              <w:spacing w:after="60"/>
              <w:outlineLvl w:val="2"/>
              <w:rPr>
                <w:rFonts w:ascii="Arial" w:hAnsi="Arial" w:cs="Arial"/>
                <w:spacing w:val="-3"/>
                <w:sz w:val="18"/>
                <w:szCs w:val="18"/>
                <w:lang w:eastAsia="en-US" w:bidi="ar-SA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Expunerea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cu material  </w:t>
            </w: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suport</w:t>
            </w:r>
            <w:proofErr w:type="spellEnd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 xml:space="preserve"> video / audio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t>Explicaţia</w:t>
            </w:r>
            <w:proofErr w:type="spellEnd"/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proofErr w:type="spellStart"/>
            <w:r w:rsidRPr="00AB2766">
              <w:rPr>
                <w:rFonts w:ascii="Arial" w:hAnsi="Arial" w:cs="Arial"/>
                <w:sz w:val="18"/>
                <w:szCs w:val="18"/>
                <w:lang w:val="en-US" w:eastAsia="en-US" w:bidi="ar-SA"/>
              </w:rPr>
              <w:lastRenderedPageBreak/>
              <w:t>Exemplificarea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eastAsia="Calibri" w:hAnsi="Arial" w:cs="Arial"/>
                <w:bCs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sz w:val="18"/>
                <w:szCs w:val="18"/>
                <w:lang w:eastAsia="en-US" w:bidi="ar-SA"/>
              </w:rPr>
              <w:lastRenderedPageBreak/>
              <w:t>PC</w:t>
            </w:r>
          </w:p>
        </w:tc>
      </w:tr>
      <w:tr w:rsidR="00AB2766" w:rsidRPr="00AB2766" w:rsidTr="00AB2766">
        <w:trPr>
          <w:trHeight w:val="21"/>
          <w:jc w:val="center"/>
        </w:trPr>
        <w:tc>
          <w:tcPr>
            <w:tcW w:w="9989" w:type="dxa"/>
            <w:gridSpan w:val="4"/>
            <w:shd w:val="clear" w:color="auto" w:fill="auto"/>
            <w:vAlign w:val="center"/>
          </w:tcPr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/>
                <w:sz w:val="18"/>
                <w:szCs w:val="18"/>
                <w:lang w:eastAsia="en-US" w:bidi="ar-SA"/>
              </w:rPr>
            </w:pPr>
            <w:r w:rsidRPr="00AB2766">
              <w:rPr>
                <w:rFonts w:ascii="Arial" w:hAnsi="Arial" w:cs="Arial"/>
                <w:b/>
                <w:sz w:val="18"/>
                <w:szCs w:val="18"/>
                <w:lang w:eastAsia="en-US" w:bidi="ar-SA"/>
              </w:rPr>
              <w:lastRenderedPageBreak/>
              <w:t>Bibliografie</w:t>
            </w:r>
          </w:p>
          <w:p w:rsidR="00AB2766" w:rsidRP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b/>
                <w:sz w:val="18"/>
                <w:szCs w:val="18"/>
                <w:lang w:eastAsia="en-US" w:bidi="ar-SA"/>
              </w:rPr>
            </w:pPr>
          </w:p>
          <w:p w:rsidR="00AB2766" w:rsidRDefault="00AB276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>CHRISS, Roger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 xml:space="preserve">, </w:t>
            </w:r>
            <w:r w:rsidRPr="00AB2766">
              <w:rPr>
                <w:rFonts w:ascii="Arial" w:hAnsi="Arial" w:cs="Arial"/>
                <w:bCs/>
                <w:i/>
                <w:kern w:val="36"/>
                <w:sz w:val="18"/>
                <w:szCs w:val="18"/>
                <w:lang w:bidi="ar-SA"/>
              </w:rPr>
              <w:t>Translation as a Profession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>, COPYRIGHT BY Roger Chris, 2006</w:t>
            </w:r>
          </w:p>
          <w:p w:rsidR="00BB4D8B" w:rsidRDefault="00AB276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DUKĀTE, 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 xml:space="preserve"> </w:t>
            </w: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>Aiga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 xml:space="preserve">, </w:t>
            </w:r>
            <w:r w:rsidRPr="00AB2766">
              <w:rPr>
                <w:rFonts w:ascii="Arial" w:hAnsi="Arial" w:cs="Arial"/>
                <w:bCs/>
                <w:i/>
                <w:kern w:val="36"/>
                <w:sz w:val="18"/>
                <w:szCs w:val="18"/>
                <w:lang w:bidi="ar-SA"/>
              </w:rPr>
              <w:t>Translation, Manipulation, and Interpreting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>, Peter Lang, Frankfurt, 2009</w:t>
            </w: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    </w:t>
            </w:r>
          </w:p>
          <w:p w:rsidR="00AB2766" w:rsidRDefault="00AB276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DUNNE, Keiran J. and Elena S. DUNNE, </w:t>
            </w:r>
            <w:r w:rsidRPr="00AB2766">
              <w:rPr>
                <w:rFonts w:ascii="Arial" w:hAnsi="Arial" w:cs="Arial"/>
                <w:bCs/>
                <w:i/>
                <w:kern w:val="36"/>
                <w:sz w:val="18"/>
                <w:szCs w:val="18"/>
                <w:lang w:bidi="ar-SA"/>
              </w:rPr>
              <w:t>Translation and Localization Project Management: The Art of the Possible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>, John Benjamins Publishing Company, 2011</w:t>
            </w:r>
          </w:p>
          <w:p w:rsidR="00BB4D8B" w:rsidRDefault="00AB276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GOUADEC, Daniel, </w:t>
            </w:r>
            <w:r w:rsidRPr="00AB2766">
              <w:rPr>
                <w:rFonts w:ascii="Arial" w:hAnsi="Arial" w:cs="Arial"/>
                <w:bCs/>
                <w:i/>
                <w:kern w:val="36"/>
                <w:sz w:val="18"/>
                <w:szCs w:val="18"/>
                <w:lang w:bidi="ar-SA"/>
              </w:rPr>
              <w:t>Translation as a Profession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>, John Benjamins, B.V., 2007.</w:t>
            </w: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    </w:t>
            </w:r>
          </w:p>
          <w:p w:rsidR="00AB2766" w:rsidRDefault="00AB276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sz w:val="18"/>
                <w:szCs w:val="18"/>
                <w:lang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>KRAWUTSCHKE, Peter W.,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 xml:space="preserve"> </w:t>
            </w:r>
            <w:r w:rsidRPr="00AB2766">
              <w:rPr>
                <w:rFonts w:ascii="Arial" w:hAnsi="Arial" w:cs="Arial"/>
                <w:bCs/>
                <w:i/>
                <w:kern w:val="36"/>
                <w:sz w:val="18"/>
                <w:szCs w:val="18"/>
                <w:lang w:bidi="ar-SA"/>
              </w:rPr>
              <w:t xml:space="preserve">Translator and Interpreter Training and Foreign Language Pedagogy, </w:t>
            </w:r>
            <w:r w:rsidRPr="00AB2766">
              <w:rPr>
                <w:rFonts w:ascii="Arial" w:hAnsi="Arial" w:cs="Arial"/>
                <w:bCs/>
                <w:sz w:val="18"/>
                <w:szCs w:val="18"/>
                <w:lang w:bidi="ar-SA"/>
              </w:rPr>
              <w:t xml:space="preserve">John Benjamins Publishing Company, 2008                                                                                                                                          </w:t>
            </w:r>
          </w:p>
          <w:p w:rsidR="00BB4D8B" w:rsidRDefault="00AB276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bidi="ar-SA"/>
              </w:rPr>
              <w:t>SOFER</w:t>
            </w:r>
            <w:r w:rsidRPr="00AB2766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  <w:lang w:bidi="ar-SA"/>
              </w:rPr>
              <w:t xml:space="preserve">, </w:t>
            </w:r>
            <w:r w:rsidRPr="00AB2766">
              <w:rPr>
                <w:rFonts w:ascii="Arial" w:hAnsi="Arial" w:cs="Arial"/>
                <w:b/>
                <w:kern w:val="36"/>
                <w:sz w:val="18"/>
                <w:szCs w:val="18"/>
                <w:lang w:bidi="ar-SA"/>
              </w:rPr>
              <w:t xml:space="preserve"> </w:t>
            </w: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bidi="ar-SA"/>
              </w:rPr>
              <w:t>Morry</w:t>
            </w:r>
            <w:r w:rsidRPr="00AB2766">
              <w:rPr>
                <w:rFonts w:ascii="Arial" w:hAnsi="Arial" w:cs="Arial"/>
                <w:b/>
                <w:kern w:val="36"/>
                <w:sz w:val="18"/>
                <w:szCs w:val="18"/>
                <w:lang w:bidi="ar-SA"/>
              </w:rPr>
              <w:t xml:space="preserve">, 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>The Global Translator's Handbook</w:t>
            </w: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bidi="ar-SA"/>
              </w:rPr>
              <w:t>, Taylor Trade Publishing, 2013</w:t>
            </w: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    </w:t>
            </w:r>
          </w:p>
          <w:p w:rsidR="00BB4D8B" w:rsidRDefault="00AB276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</w:pP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>SAMUELSSON-BROWN,</w:t>
            </w:r>
            <w:r w:rsidRPr="00AB2766">
              <w:rPr>
                <w:rFonts w:ascii="Arial" w:hAnsi="Arial" w:cs="Arial"/>
                <w:bCs/>
                <w:sz w:val="18"/>
                <w:szCs w:val="18"/>
                <w:lang w:bidi="ar-SA"/>
              </w:rPr>
              <w:t xml:space="preserve">  </w:t>
            </w:r>
            <w:r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>Geoffrey,</w:t>
            </w:r>
            <w:r w:rsidRPr="00AB2766">
              <w:rPr>
                <w:rFonts w:ascii="Arial" w:hAnsi="Arial" w:cs="Arial"/>
                <w:bCs/>
                <w:sz w:val="18"/>
                <w:szCs w:val="18"/>
                <w:lang w:bidi="ar-SA"/>
              </w:rPr>
              <w:t xml:space="preserve">  </w:t>
            </w:r>
            <w:r w:rsidRPr="00AB2766">
              <w:rPr>
                <w:rFonts w:ascii="Arial" w:hAnsi="Arial" w:cs="Arial"/>
                <w:bCs/>
                <w:i/>
                <w:kern w:val="36"/>
                <w:sz w:val="18"/>
                <w:szCs w:val="18"/>
                <w:lang w:bidi="ar-SA"/>
              </w:rPr>
              <w:t>Managing Translation Services</w:t>
            </w:r>
            <w:r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 xml:space="preserve">, Multilingual Matters Ltd, 2006 </w:t>
            </w:r>
          </w:p>
          <w:p w:rsidR="00AB2766" w:rsidRPr="00AB2766" w:rsidRDefault="00451051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</w:pPr>
            <w:hyperlink r:id="rId10" w:history="1">
              <w:r w:rsidR="00AB2766" w:rsidRPr="00AB2766">
                <w:rPr>
                  <w:rFonts w:ascii="Arial" w:hAnsi="Arial" w:cs="Arial"/>
                  <w:bCs/>
                  <w:sz w:val="18"/>
                  <w:szCs w:val="18"/>
                  <w:shd w:val="clear" w:color="auto" w:fill="FFFFFF"/>
                  <w:lang w:eastAsia="en-US" w:bidi="ar-SA"/>
                </w:rPr>
                <w:t>TINSLEY</w:t>
              </w:r>
            </w:hyperlink>
            <w:r w:rsidR="00AB2766"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 xml:space="preserve">, Royal L., </w:t>
            </w:r>
            <w:r w:rsidR="00AB2766" w:rsidRPr="00AB2766">
              <w:rPr>
                <w:rFonts w:ascii="Arial" w:hAnsi="Arial" w:cs="Arial"/>
                <w:bCs/>
                <w:i/>
                <w:kern w:val="36"/>
                <w:sz w:val="18"/>
                <w:szCs w:val="18"/>
                <w:lang w:bidi="ar-SA"/>
              </w:rPr>
              <w:t>Translation as a Career Option for Foreign Language Majors</w:t>
            </w:r>
            <w:r w:rsidR="00AB2766" w:rsidRPr="00AB2766">
              <w:rPr>
                <w:rFonts w:ascii="Arial" w:hAnsi="Arial" w:cs="Arial"/>
                <w:bCs/>
                <w:kern w:val="36"/>
                <w:sz w:val="18"/>
                <w:szCs w:val="18"/>
                <w:lang w:bidi="ar-SA"/>
              </w:rPr>
              <w:t xml:space="preserve">, </w:t>
            </w:r>
            <w:hyperlink r:id="rId11" w:history="1">
              <w:r w:rsidR="00AB2766" w:rsidRPr="00AB2766">
                <w:rPr>
                  <w:rFonts w:ascii="Arial" w:hAnsi="Arial" w:cs="Arial"/>
                  <w:bCs/>
                  <w:i/>
                  <w:iCs/>
                  <w:sz w:val="18"/>
                  <w:szCs w:val="18"/>
                  <w:shd w:val="clear" w:color="auto" w:fill="FFFFFF"/>
                  <w:lang w:eastAsia="en-US" w:bidi="ar-SA"/>
                </w:rPr>
                <w:t>Issue 37 of CAL-ERIC/CLL series on languages and linguistics</w:t>
              </w:r>
            </w:hyperlink>
            <w:r w:rsidR="00AB2766"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>, </w:t>
            </w:r>
            <w:hyperlink r:id="rId12" w:history="1">
              <w:r w:rsidR="00AB2766" w:rsidRPr="00AB2766">
                <w:rPr>
                  <w:rFonts w:ascii="Arial" w:hAnsi="Arial" w:cs="Arial"/>
                  <w:bCs/>
                  <w:sz w:val="18"/>
                  <w:szCs w:val="18"/>
                  <w:shd w:val="clear" w:color="auto" w:fill="FFFFFF"/>
                  <w:lang w:eastAsia="en-US" w:bidi="ar-SA"/>
                </w:rPr>
                <w:t>Center for Applied Linguistics</w:t>
              </w:r>
            </w:hyperlink>
            <w:r w:rsidR="00AB2766" w:rsidRPr="00AB2766">
              <w:rPr>
                <w:rFonts w:ascii="Arial" w:hAnsi="Arial" w:cs="Arial"/>
                <w:bCs/>
                <w:sz w:val="18"/>
                <w:szCs w:val="18"/>
                <w:lang w:eastAsia="en-US" w:bidi="ar-SA"/>
              </w:rPr>
              <w:t xml:space="preserve">, </w:t>
            </w:r>
            <w:r w:rsidR="00AB2766" w:rsidRPr="00AB2766">
              <w:rPr>
                <w:rFonts w:ascii="Arial" w:hAnsi="Arial" w:cs="Arial"/>
                <w:bCs/>
                <w:sz w:val="18"/>
                <w:szCs w:val="18"/>
                <w:shd w:val="clear" w:color="auto" w:fill="FFFFFF"/>
                <w:lang w:eastAsia="en-US" w:bidi="ar-SA"/>
              </w:rPr>
              <w:t xml:space="preserve">U.S. Department of Health, Education &amp; Welfare, National Institute of Education, Educational Resources Information Center, 1976  </w:t>
            </w:r>
          </w:p>
        </w:tc>
      </w:tr>
    </w:tbl>
    <w:p w:rsidR="007C7D20" w:rsidRDefault="007C7D20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8"/>
          <w:tab w:val="left" w:pos="1249"/>
        </w:tabs>
        <w:spacing w:before="94" w:after="3"/>
        <w:ind w:right="1394" w:hanging="360"/>
        <w:rPr>
          <w:rFonts w:ascii="Arial" w:hAnsi="Arial"/>
          <w:b/>
          <w:sz w:val="18"/>
        </w:rPr>
      </w:pPr>
      <w:r>
        <w:tab/>
      </w:r>
      <w:r>
        <w:rPr>
          <w:rFonts w:ascii="Arial" w:hAnsi="Arial"/>
          <w:b/>
          <w:sz w:val="18"/>
        </w:rPr>
        <w:t>Coroborarea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conţinuturilor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disciplinei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cu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aşteptările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reprezentanţilor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comunitaţii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epistemice, asociaţiilor profesionale şi angajatori din domeniul aferent</w:t>
      </w:r>
      <w:r>
        <w:rPr>
          <w:rFonts w:ascii="Arial" w:hAnsi="Arial"/>
          <w:b/>
          <w:spacing w:val="-10"/>
          <w:sz w:val="18"/>
        </w:rPr>
        <w:t xml:space="preserve"> </w:t>
      </w:r>
      <w:r>
        <w:rPr>
          <w:rFonts w:ascii="Arial" w:hAnsi="Arial"/>
          <w:b/>
          <w:sz w:val="18"/>
        </w:rPr>
        <w:t>programului</w:t>
      </w:r>
    </w:p>
    <w:p w:rsidR="00BB4D8B" w:rsidRDefault="00BB4D8B" w:rsidP="00BB4D8B">
      <w:pPr>
        <w:pStyle w:val="ListParagraph"/>
        <w:tabs>
          <w:tab w:val="left" w:pos="1248"/>
          <w:tab w:val="left" w:pos="1249"/>
        </w:tabs>
        <w:spacing w:before="94" w:after="3"/>
        <w:ind w:left="1198" w:right="1394"/>
        <w:rPr>
          <w:rFonts w:ascii="Arial" w:hAnsi="Arial"/>
          <w:b/>
          <w:sz w:val="18"/>
        </w:rPr>
      </w:pPr>
    </w:p>
    <w:p w:rsidR="00BB4D8B" w:rsidRDefault="00BB4D8B" w:rsidP="00BB4D8B">
      <w:pPr>
        <w:pStyle w:val="BodyText"/>
        <w:spacing w:line="233" w:lineRule="exact"/>
        <w:ind w:left="276"/>
        <w:jc w:val="both"/>
        <w:rPr>
          <w:rFonts w:ascii="Arial" w:eastAsia="Calibri" w:hAnsi="Arial" w:cs="Arial"/>
          <w:sz w:val="18"/>
          <w:szCs w:val="18"/>
          <w:lang w:val="fr-FR" w:eastAsia="en-US" w:bidi="ar-SA"/>
        </w:rPr>
      </w:pPr>
      <w:r w:rsidRPr="00957D2C">
        <w:rPr>
          <w:rFonts w:ascii="Arial" w:eastAsia="Calibri" w:hAnsi="Arial" w:cs="Arial"/>
          <w:sz w:val="18"/>
          <w:szCs w:val="18"/>
          <w:lang w:eastAsia="en-US" w:bidi="ar-SA"/>
        </w:rPr>
        <w:t xml:space="preserve">                 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Studentul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va fi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informat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cu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privire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la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formele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de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organizare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ale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activitatii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sale,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principiile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de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baza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ale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managementului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acestei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activitati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,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drepturile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si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obligatiile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inerente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si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bunele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practici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 xml:space="preserve"> </w:t>
      </w:r>
      <w:proofErr w:type="spellStart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specifice</w:t>
      </w:r>
      <w:proofErr w:type="spellEnd"/>
      <w:r w:rsidRPr="00BB4D8B">
        <w:rPr>
          <w:rFonts w:ascii="Arial" w:eastAsia="Calibri" w:hAnsi="Arial" w:cs="Arial"/>
          <w:sz w:val="18"/>
          <w:szCs w:val="18"/>
          <w:lang w:val="fr-FR" w:eastAsia="en-US" w:bidi="ar-SA"/>
        </w:rPr>
        <w:t>.</w:t>
      </w:r>
    </w:p>
    <w:p w:rsidR="00BB4D8B" w:rsidRPr="00BB4D8B" w:rsidRDefault="00BB4D8B" w:rsidP="00BB4D8B">
      <w:pPr>
        <w:pStyle w:val="BodyText"/>
        <w:spacing w:line="233" w:lineRule="exact"/>
        <w:ind w:left="276"/>
        <w:jc w:val="both"/>
        <w:rPr>
          <w:rFonts w:ascii="Arial" w:hAnsi="Arial" w:cs="Arial"/>
          <w:sz w:val="18"/>
          <w:szCs w:val="18"/>
        </w:rPr>
      </w:pPr>
    </w:p>
    <w:p w:rsidR="00BB4D8B" w:rsidRDefault="00BB4D8B" w:rsidP="00BB4D8B">
      <w:pPr>
        <w:pStyle w:val="BodyText"/>
        <w:spacing w:before="1"/>
        <w:rPr>
          <w:rFonts w:ascii="Arial"/>
          <w:b/>
          <w:sz w:val="7"/>
        </w:rPr>
      </w:pP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9"/>
        </w:tabs>
        <w:spacing w:before="94" w:after="5"/>
        <w:ind w:left="1248"/>
        <w:rPr>
          <w:rFonts w:ascii="Arial"/>
          <w:b/>
          <w:sz w:val="18"/>
        </w:rPr>
      </w:pPr>
      <w:r>
        <w:rPr>
          <w:rFonts w:ascii="Arial"/>
          <w:b/>
          <w:sz w:val="18"/>
        </w:rPr>
        <w:t>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7"/>
        <w:gridCol w:w="952"/>
        <w:gridCol w:w="3260"/>
        <w:gridCol w:w="2423"/>
        <w:gridCol w:w="1860"/>
      </w:tblGrid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10.3 Pondere din nota finală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Examen scris</w:t>
            </w:r>
          </w:p>
        </w:tc>
        <w:tc>
          <w:tcPr>
            <w:tcW w:w="1860" w:type="dxa"/>
            <w:shd w:val="clear" w:color="auto" w:fill="auto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  <w:p w:rsidR="00BB4D8B" w:rsidRPr="00BB4D8B" w:rsidRDefault="00BB4D8B" w:rsidP="00556810">
            <w:pPr>
              <w:widowControl/>
              <w:tabs>
                <w:tab w:val="left" w:pos="662"/>
                <w:tab w:val="center" w:pos="822"/>
              </w:tabs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</w: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  <w:t>50%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Verificarea cunoștințelor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Referat</w:t>
            </w:r>
          </w:p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Teme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30%</w:t>
            </w:r>
          </w:p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20%</w:t>
            </w:r>
          </w:p>
        </w:tc>
      </w:tr>
      <w:tr w:rsidR="00BB4D8B" w:rsidRPr="00BB4D8B" w:rsidTr="00556810">
        <w:tblPrEx>
          <w:tblLook w:val="01E0"/>
        </w:tblPrEx>
        <w:trPr>
          <w:jc w:val="center"/>
        </w:trPr>
        <w:tc>
          <w:tcPr>
            <w:tcW w:w="2159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10.6 Standard minim de performanţă</w:t>
            </w:r>
          </w:p>
        </w:tc>
        <w:tc>
          <w:tcPr>
            <w:tcW w:w="7543" w:type="dxa"/>
            <w:gridSpan w:val="3"/>
            <w:shd w:val="clear" w:color="auto" w:fill="auto"/>
          </w:tcPr>
          <w:p w:rsidR="00BB4D8B" w:rsidRPr="00BB4D8B" w:rsidRDefault="00BB4D8B" w:rsidP="00556810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en-US" w:eastAsia="en-US" w:bidi="ar-SA"/>
              </w:rPr>
            </w:pPr>
            <w:r w:rsidRPr="00BB4D8B">
              <w:rPr>
                <w:rFonts w:ascii="Arial" w:eastAsia="Calibri" w:hAnsi="Arial" w:cs="Arial"/>
                <w:sz w:val="18"/>
                <w:szCs w:val="18"/>
                <w:lang w:eastAsia="en-US" w:bidi="ar-SA"/>
              </w:rPr>
              <w:t xml:space="preserve">Cunoașterea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rolului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traducatorului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si al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interpretului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,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precum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si 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formelor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de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organizare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a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celor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doua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 xml:space="preserve"> </w:t>
            </w:r>
            <w:proofErr w:type="spellStart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profesii</w:t>
            </w:r>
            <w:proofErr w:type="spellEnd"/>
            <w:r w:rsidRPr="00957D2C">
              <w:rPr>
                <w:rFonts w:ascii="Arial" w:hAnsi="Arial" w:cs="Arial"/>
                <w:sz w:val="18"/>
                <w:szCs w:val="18"/>
                <w:lang w:val="fr-FR" w:eastAsia="en-US" w:bidi="ar-SA"/>
              </w:rPr>
              <w:t>.</w:t>
            </w:r>
            <w:r w:rsidRPr="00BB4D8B">
              <w:rPr>
                <w:rFonts w:ascii="Arial" w:eastAsia="Calibri" w:hAnsi="Arial" w:cs="Arial"/>
                <w:color w:val="000000"/>
                <w:sz w:val="18"/>
                <w:szCs w:val="18"/>
                <w:shd w:val="clear" w:color="auto" w:fill="FFFFFF"/>
                <w:lang w:eastAsia="en-US" w:bidi="ar-SA"/>
              </w:rPr>
              <w:t xml:space="preserve"> Cunoașterea principalelor etape şi a standardelor de calitate si etica privind traducerea si interpretarea.</w:t>
            </w:r>
          </w:p>
        </w:tc>
      </w:tr>
    </w:tbl>
    <w:p w:rsidR="00BB4D8B" w:rsidRDefault="00BB4D8B" w:rsidP="00BB4D8B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</w:p>
    <w:p w:rsidR="00BB4D8B" w:rsidRDefault="00BB4D8B" w:rsidP="00BB4D8B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 Data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completării</w:t>
      </w:r>
      <w:r>
        <w:rPr>
          <w:rFonts w:ascii="Arial" w:hAnsi="Arial"/>
          <w:sz w:val="18"/>
        </w:rPr>
        <w:tab/>
        <w:t xml:space="preserve">        Titular</w:t>
      </w:r>
      <w:r>
        <w:rPr>
          <w:rFonts w:ascii="Arial" w:hAnsi="Arial"/>
          <w:spacing w:val="-1"/>
          <w:sz w:val="18"/>
        </w:rPr>
        <w:t xml:space="preserve"> </w:t>
      </w:r>
      <w:r>
        <w:rPr>
          <w:rFonts w:ascii="Arial" w:hAnsi="Arial"/>
          <w:sz w:val="18"/>
        </w:rPr>
        <w:t>de</w:t>
      </w:r>
      <w:r>
        <w:rPr>
          <w:rFonts w:ascii="Arial" w:hAnsi="Arial"/>
          <w:spacing w:val="-2"/>
          <w:sz w:val="18"/>
        </w:rPr>
        <w:t xml:space="preserve"> </w:t>
      </w:r>
      <w:r>
        <w:rPr>
          <w:rFonts w:ascii="Arial" w:hAnsi="Arial"/>
          <w:sz w:val="18"/>
        </w:rPr>
        <w:t>curs,                                             Titular de seminar /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laborator,</w:t>
      </w:r>
    </w:p>
    <w:p w:rsidR="00BB4D8B" w:rsidRPr="00BB4D8B" w:rsidRDefault="00750F0C" w:rsidP="00BB4D8B">
      <w:pPr>
        <w:tabs>
          <w:tab w:val="left" w:pos="780"/>
          <w:tab w:val="left" w:pos="2219"/>
          <w:tab w:val="left" w:pos="3358"/>
          <w:tab w:val="left" w:pos="6958"/>
        </w:tabs>
        <w:spacing w:line="207" w:lineRule="exact"/>
        <w:ind w:left="478"/>
        <w:rPr>
          <w:rFonts w:ascii="Arial"/>
          <w:sz w:val="18"/>
        </w:rPr>
      </w:pPr>
      <w:r>
        <w:rPr>
          <w:rFonts w:ascii="Arial"/>
          <w:sz w:val="18"/>
        </w:rPr>
        <w:t>20</w:t>
      </w:r>
      <w:r w:rsidR="00BB4D8B" w:rsidRPr="00BB4D8B">
        <w:rPr>
          <w:rFonts w:ascii="Arial"/>
          <w:sz w:val="18"/>
        </w:rPr>
        <w:t xml:space="preserve"> septembrie</w:t>
      </w:r>
      <w:r w:rsidR="00BB4D8B">
        <w:rPr>
          <w:rFonts w:ascii="Arial"/>
          <w:sz w:val="18"/>
        </w:rPr>
        <w:t xml:space="preserve"> </w:t>
      </w:r>
      <w:r w:rsidR="00BB4D8B" w:rsidRPr="00BB4D8B">
        <w:rPr>
          <w:rFonts w:ascii="Arial"/>
          <w:sz w:val="18"/>
        </w:rPr>
        <w:t>2019</w:t>
      </w:r>
      <w:r w:rsidR="00BB4D8B" w:rsidRPr="00BB4D8B">
        <w:rPr>
          <w:rFonts w:ascii="Arial"/>
          <w:sz w:val="18"/>
        </w:rPr>
        <w:tab/>
      </w:r>
      <w:r w:rsidR="00BB4D8B" w:rsidRPr="00BB4D8B">
        <w:rPr>
          <w:rFonts w:ascii="Arial"/>
          <w:sz w:val="18"/>
        </w:rPr>
        <w:tab/>
      </w:r>
      <w:r w:rsidR="00BB4D8B">
        <w:rPr>
          <w:rFonts w:ascii="Arial"/>
          <w:sz w:val="18"/>
        </w:rPr>
        <w:t xml:space="preserve">               </w:t>
      </w:r>
      <w:r w:rsidR="00BB4D8B" w:rsidRPr="00BB4D8B">
        <w:rPr>
          <w:rFonts w:ascii="Arial"/>
          <w:sz w:val="18"/>
        </w:rPr>
        <w:t>.....</w:t>
      </w:r>
      <w:r w:rsidR="00BB4D8B">
        <w:rPr>
          <w:rFonts w:ascii="Arial"/>
          <w:sz w:val="18"/>
        </w:rPr>
        <w:t xml:space="preserve">                                                     Conf. univ. dr. Matrozi-Marin Adina</w:t>
      </w:r>
    </w:p>
    <w:p w:rsidR="00BB4D8B" w:rsidRPr="00BB4D8B" w:rsidRDefault="00BB4D8B" w:rsidP="00BB4D8B">
      <w:pPr>
        <w:pStyle w:val="BodyText"/>
        <w:spacing w:before="8"/>
        <w:rPr>
          <w:rFonts w:ascii="Arial"/>
          <w:sz w:val="23"/>
        </w:rPr>
      </w:pPr>
    </w:p>
    <w:p w:rsidR="00BB4D8B" w:rsidRDefault="00BB4D8B" w:rsidP="00BB4D8B">
      <w:pPr>
        <w:tabs>
          <w:tab w:val="left" w:pos="6958"/>
        </w:tabs>
        <w:spacing w:before="94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 aprobării în</w:t>
      </w:r>
      <w:r>
        <w:rPr>
          <w:rFonts w:ascii="Arial" w:hAnsi="Arial"/>
          <w:spacing w:val="-9"/>
          <w:sz w:val="18"/>
        </w:rPr>
        <w:t xml:space="preserve"> </w:t>
      </w:r>
      <w:r>
        <w:rPr>
          <w:rFonts w:ascii="Arial" w:hAnsi="Arial"/>
          <w:sz w:val="18"/>
        </w:rPr>
        <w:t>Consiliul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departamentului</w:t>
      </w:r>
      <w:r>
        <w:rPr>
          <w:rFonts w:ascii="Arial" w:hAnsi="Arial"/>
          <w:sz w:val="18"/>
        </w:rPr>
        <w:tab/>
        <w:t xml:space="preserve">         Director de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departament,</w:t>
      </w:r>
    </w:p>
    <w:p w:rsidR="00BB4D8B" w:rsidRDefault="00750F0C" w:rsidP="00BB4D8B">
      <w:pPr>
        <w:tabs>
          <w:tab w:val="left" w:pos="780"/>
          <w:tab w:val="left" w:pos="2219"/>
          <w:tab w:val="left" w:pos="6958"/>
        </w:tabs>
        <w:spacing w:before="2"/>
        <w:ind w:left="478"/>
        <w:rPr>
          <w:rFonts w:ascii="Arial"/>
          <w:sz w:val="18"/>
        </w:rPr>
      </w:pPr>
      <w:r w:rsidRPr="00750F0C">
        <w:rPr>
          <w:rFonts w:ascii="Arial"/>
          <w:sz w:val="18"/>
        </w:rPr>
        <w:t xml:space="preserve">25 </w:t>
      </w:r>
      <w:r w:rsidR="00BB4D8B" w:rsidRPr="00750F0C">
        <w:rPr>
          <w:rFonts w:ascii="Arial"/>
          <w:sz w:val="18"/>
        </w:rPr>
        <w:t>septembrie</w:t>
      </w:r>
      <w:r w:rsidRPr="00750F0C">
        <w:rPr>
          <w:rFonts w:ascii="Arial"/>
          <w:sz w:val="18"/>
        </w:rPr>
        <w:t xml:space="preserve"> 2019</w:t>
      </w:r>
      <w:r w:rsidR="00BB4D8B">
        <w:rPr>
          <w:rFonts w:ascii="Arial"/>
          <w:sz w:val="18"/>
        </w:rPr>
        <w:tab/>
        <w:t xml:space="preserve">         Conf. univ. dr. Citu Laura</w:t>
      </w:r>
    </w:p>
    <w:p w:rsidR="00BB4D8B" w:rsidRDefault="00BB4D8B" w:rsidP="00BB4D8B"/>
    <w:p w:rsidR="00BB4D8B" w:rsidRDefault="00BB4D8B" w:rsidP="007C7D20">
      <w:pPr>
        <w:rPr>
          <w:sz w:val="2"/>
          <w:szCs w:val="2"/>
        </w:rPr>
        <w:sectPr w:rsidR="00BB4D8B">
          <w:type w:val="continuous"/>
          <w:pgSz w:w="11910" w:h="16840"/>
          <w:pgMar w:top="1360" w:right="440" w:bottom="280" w:left="940" w:header="708" w:footer="708" w:gutter="0"/>
          <w:cols w:space="708"/>
        </w:sectPr>
      </w:pPr>
    </w:p>
    <w:p w:rsidR="007C7D20" w:rsidRDefault="007C7D20" w:rsidP="007C7D20">
      <w:pPr>
        <w:pStyle w:val="BodyText"/>
        <w:spacing w:before="10"/>
        <w:rPr>
          <w:rFonts w:ascii="Arial"/>
          <w:b/>
          <w:sz w:val="6"/>
        </w:rPr>
      </w:pPr>
    </w:p>
    <w:p w:rsidR="007C7D20" w:rsidRDefault="007C7D20" w:rsidP="007C7D20">
      <w:pPr>
        <w:pStyle w:val="BodyText"/>
        <w:rPr>
          <w:rFonts w:ascii="Arial"/>
          <w:b/>
          <w:sz w:val="20"/>
        </w:rPr>
      </w:pPr>
    </w:p>
    <w:sectPr w:rsidR="007C7D20" w:rsidSect="00BD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31B" w:rsidRDefault="005D531B">
      <w:r>
        <w:separator/>
      </w:r>
    </w:p>
  </w:endnote>
  <w:endnote w:type="continuationSeparator" w:id="0">
    <w:p w:rsidR="005D531B" w:rsidRDefault="005D5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5D531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31B" w:rsidRDefault="005D531B">
      <w:r>
        <w:separator/>
      </w:r>
    </w:p>
  </w:footnote>
  <w:footnote w:type="continuationSeparator" w:id="0">
    <w:p w:rsidR="005D531B" w:rsidRDefault="005D5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5D531B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1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3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5">
    <w:nsid w:val="648042B0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abstractNum w:abstractNumId="6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92ABB"/>
    <w:rsid w:val="000E7559"/>
    <w:rsid w:val="00104E69"/>
    <w:rsid w:val="001422E1"/>
    <w:rsid w:val="00147D79"/>
    <w:rsid w:val="001A28EF"/>
    <w:rsid w:val="001C33DD"/>
    <w:rsid w:val="001E5C8C"/>
    <w:rsid w:val="002260E9"/>
    <w:rsid w:val="00233977"/>
    <w:rsid w:val="00241856"/>
    <w:rsid w:val="00264329"/>
    <w:rsid w:val="002B2AE9"/>
    <w:rsid w:val="002E4344"/>
    <w:rsid w:val="002F0EAD"/>
    <w:rsid w:val="002F5A1D"/>
    <w:rsid w:val="002F5C50"/>
    <w:rsid w:val="003125E9"/>
    <w:rsid w:val="00357099"/>
    <w:rsid w:val="00370E26"/>
    <w:rsid w:val="003A5B1E"/>
    <w:rsid w:val="003A719D"/>
    <w:rsid w:val="0041262D"/>
    <w:rsid w:val="00451051"/>
    <w:rsid w:val="00452906"/>
    <w:rsid w:val="004B5151"/>
    <w:rsid w:val="00552C88"/>
    <w:rsid w:val="00553C08"/>
    <w:rsid w:val="005B12D2"/>
    <w:rsid w:val="005D531B"/>
    <w:rsid w:val="00616737"/>
    <w:rsid w:val="0064290B"/>
    <w:rsid w:val="00653247"/>
    <w:rsid w:val="00666672"/>
    <w:rsid w:val="0069261F"/>
    <w:rsid w:val="006B132C"/>
    <w:rsid w:val="006E03F5"/>
    <w:rsid w:val="00717D1A"/>
    <w:rsid w:val="007324AA"/>
    <w:rsid w:val="00744A0C"/>
    <w:rsid w:val="00750F0C"/>
    <w:rsid w:val="00775A39"/>
    <w:rsid w:val="007A19DB"/>
    <w:rsid w:val="007C7D20"/>
    <w:rsid w:val="007F474B"/>
    <w:rsid w:val="007F7C11"/>
    <w:rsid w:val="00813C0F"/>
    <w:rsid w:val="00856385"/>
    <w:rsid w:val="008664CA"/>
    <w:rsid w:val="0087028B"/>
    <w:rsid w:val="008704C3"/>
    <w:rsid w:val="00894E1C"/>
    <w:rsid w:val="008A7394"/>
    <w:rsid w:val="008C1F59"/>
    <w:rsid w:val="008F418D"/>
    <w:rsid w:val="0090274C"/>
    <w:rsid w:val="009152D4"/>
    <w:rsid w:val="00937F92"/>
    <w:rsid w:val="009533B3"/>
    <w:rsid w:val="00957D2C"/>
    <w:rsid w:val="00993795"/>
    <w:rsid w:val="009D4D67"/>
    <w:rsid w:val="00A47D91"/>
    <w:rsid w:val="00A93C04"/>
    <w:rsid w:val="00AB2766"/>
    <w:rsid w:val="00AC4001"/>
    <w:rsid w:val="00B21B3D"/>
    <w:rsid w:val="00B71F58"/>
    <w:rsid w:val="00B75411"/>
    <w:rsid w:val="00B83A5C"/>
    <w:rsid w:val="00B94741"/>
    <w:rsid w:val="00BB4D8B"/>
    <w:rsid w:val="00BC5CEC"/>
    <w:rsid w:val="00BD5856"/>
    <w:rsid w:val="00C21C78"/>
    <w:rsid w:val="00C22DD8"/>
    <w:rsid w:val="00C83B04"/>
    <w:rsid w:val="00C936C5"/>
    <w:rsid w:val="00CD5883"/>
    <w:rsid w:val="00D04A17"/>
    <w:rsid w:val="00D342BB"/>
    <w:rsid w:val="00D7396E"/>
    <w:rsid w:val="00D8657F"/>
    <w:rsid w:val="00DA4CF1"/>
    <w:rsid w:val="00DC6750"/>
    <w:rsid w:val="00DE15BE"/>
    <w:rsid w:val="00E444AF"/>
    <w:rsid w:val="00E638C9"/>
    <w:rsid w:val="00E656F5"/>
    <w:rsid w:val="00E915A2"/>
    <w:rsid w:val="00EC3A59"/>
    <w:rsid w:val="00EC5061"/>
    <w:rsid w:val="00F00F86"/>
    <w:rsid w:val="00F228CE"/>
    <w:rsid w:val="00F31D04"/>
    <w:rsid w:val="00F618B9"/>
    <w:rsid w:val="00FB06EB"/>
    <w:rsid w:val="00FB5A07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character" w:styleId="Hyperlink">
    <w:name w:val="Hyperlink"/>
    <w:basedOn w:val="DefaultParagraphFont"/>
    <w:uiPriority w:val="99"/>
    <w:semiHidden/>
    <w:unhideWhenUsed/>
    <w:rsid w:val="00AB27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27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766"/>
    <w:rPr>
      <w:rFonts w:ascii="Times New Roman" w:eastAsia="Times New Roman" w:hAnsi="Times New Roman" w:cs="Times New Roman"/>
      <w:lang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AB27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766"/>
    <w:rPr>
      <w:rFonts w:ascii="Times New Roman" w:eastAsia="Times New Roman" w:hAnsi="Times New Roman" w:cs="Times New Roman"/>
      <w:lang w:eastAsia="ro-RO" w:bidi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ro/search?tbo=p&amp;tbm=bks&amp;q=inauthor:%22Center+for+Applied+Linguistics%22&amp;source=gbs_metadata_r&amp;cad=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ro/search?tbo=p&amp;tbm=bks&amp;q=bibliogroup:%22CAL-ERIC/CLL+series+on+languages+and+linguistics%22&amp;source=gbs_metadata_r&amp;cad=6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google.ro/search?tbo=p&amp;tbm=bks&amp;q=inauthor:%22Royal+L.+Tinsley%2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1FD7-D77E-409A-A34B-4458A735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1175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6</cp:revision>
  <dcterms:created xsi:type="dcterms:W3CDTF">2019-10-08T10:49:00Z</dcterms:created>
  <dcterms:modified xsi:type="dcterms:W3CDTF">2019-10-28T16:02:00Z</dcterms:modified>
</cp:coreProperties>
</file>